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7F6" w:rsidRPr="00EC5FA1" w:rsidRDefault="000917F6" w:rsidP="000917F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Об уголовной ответственности за незаконные выдачу и получение избирательные бюллетени, бюллетеня для голосования на референдуме</w:t>
      </w:r>
    </w:p>
    <w:p w:rsidR="000917F6" w:rsidRPr="00EC5FA1" w:rsidRDefault="000917F6" w:rsidP="000917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Федеральным законом от 29.07.2017 № 249-ФЗ в Уголовный кодекс РФ введена ст.142.2, предусматривающая ответственность за незаконные выдачу и получение избирательного бюллетеня, бюллетеня для голосования на референдуме.</w:t>
      </w:r>
      <w:proofErr w:type="gramEnd"/>
    </w:p>
    <w:p w:rsidR="000917F6" w:rsidRPr="00EC5FA1" w:rsidRDefault="000917F6" w:rsidP="000917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Статья определяет отсутствие возможности нарушения прав в процессе голосования на референдуме. Ответственность формируется при нарушениях следующего характера:</w:t>
      </w:r>
    </w:p>
    <w:p w:rsidR="000917F6" w:rsidRPr="00EC5FA1" w:rsidRDefault="000917F6" w:rsidP="000917F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EC5FA1">
        <w:rPr>
          <w:sz w:val="28"/>
          <w:szCs w:val="28"/>
        </w:rPr>
        <w:t>предоставление бюллетеня лицам, которые не имеют права голосовать;</w:t>
      </w:r>
    </w:p>
    <w:p w:rsidR="000917F6" w:rsidRPr="00EC5FA1" w:rsidRDefault="000917F6" w:rsidP="000917F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EC5FA1">
        <w:rPr>
          <w:sz w:val="28"/>
          <w:szCs w:val="28"/>
        </w:rPr>
        <w:t>вторичное предоставление бюллетеня;</w:t>
      </w:r>
    </w:p>
    <w:p w:rsidR="000917F6" w:rsidRPr="00EC5FA1" w:rsidRDefault="000917F6" w:rsidP="000917F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EC5FA1">
        <w:rPr>
          <w:sz w:val="28"/>
          <w:szCs w:val="28"/>
        </w:rPr>
        <w:t>совершение действий по предоставлению бюллетеней для голосования, с учетом действия группы лиц.</w:t>
      </w:r>
    </w:p>
    <w:p w:rsidR="000917F6" w:rsidRPr="00EC5FA1" w:rsidRDefault="000917F6" w:rsidP="000917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То есть, по сути, формируется наказание, которое определяет отсутствие возможности совершать своеобразные мошеннические действия, с целью формирования определенного результата голосования на референдуме. Ответственность по статье предусмотрена достаточно серьёзная, и она определяет наказание в виде штрафа и даже лишения свободы. Степень тяжести совершенных деяний скажется на определении конечного наказания. Например, если деятельность осуществлялась группой лиц и в достаточно крупном масштабе, то будет использована максимальная мера наказания. Если речь идет о нарушении, спровоцировавшем незначительные действия, не имеющие возможность влияния на конечный результат референдума, может быть использовано минимальное наказание.</w:t>
      </w:r>
    </w:p>
    <w:p w:rsidR="000917F6" w:rsidRPr="00EC5FA1" w:rsidRDefault="000917F6" w:rsidP="000917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Судебная практика показывает, что ситуация рассматривается в индивидуальном порядке, причем во внимание берется не только прецедент, но и его последствия, что позволяет четко определить степень тяжести деяний, и формирует возможность грамотного применения наказания.</w:t>
      </w:r>
    </w:p>
    <w:p w:rsidR="000617AC" w:rsidRPr="000917F6" w:rsidRDefault="000617AC" w:rsidP="000917F6">
      <w:bookmarkStart w:id="0" w:name="_GoBack"/>
      <w:bookmarkEnd w:id="0"/>
    </w:p>
    <w:sectPr w:rsidR="000617AC" w:rsidRPr="00091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AF572F"/>
    <w:rsid w:val="00B133AD"/>
    <w:rsid w:val="00BC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2018-02-12T14:59:00Z</dcterms:created>
  <dcterms:modified xsi:type="dcterms:W3CDTF">2018-02-12T14:59:00Z</dcterms:modified>
</cp:coreProperties>
</file>